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0A" w:rsidRPr="00EC290A" w:rsidRDefault="00EC290A" w:rsidP="00EC290A">
      <w:pPr>
        <w:ind w:firstLine="0"/>
        <w:jc w:val="center"/>
        <w:rPr>
          <w:rFonts w:eastAsia="Calibri" w:cs="Times New Roman"/>
          <w:b/>
          <w:szCs w:val="28"/>
        </w:rPr>
      </w:pPr>
      <w:bookmarkStart w:id="0" w:name="_GoBack"/>
      <w:bookmarkEnd w:id="0"/>
      <w:r w:rsidRPr="00EC290A">
        <w:rPr>
          <w:rFonts w:eastAsia="Calibri" w:cs="Times New Roman"/>
          <w:b/>
          <w:szCs w:val="28"/>
        </w:rPr>
        <w:t>План-график работ по проведению оценки воздействия на окружающую среду (ОВОС)</w:t>
      </w:r>
    </w:p>
    <w:tbl>
      <w:tblPr>
        <w:tblW w:w="97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111"/>
      </w:tblGrid>
      <w:tr w:rsidR="00EC290A" w:rsidRPr="00EC290A" w:rsidTr="007B625E">
        <w:trPr>
          <w:trHeight w:val="480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Подготовка программы проведения ОВОС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апрель 2025 г – ноябрь 2025 г</w:t>
            </w:r>
          </w:p>
        </w:tc>
      </w:tr>
      <w:tr w:rsidR="00EC290A" w:rsidRPr="00EC290A" w:rsidTr="00065D63">
        <w:trPr>
          <w:trHeight w:val="480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4111" w:type="dxa"/>
            <w:vMerge w:val="restart"/>
            <w:tcBorders>
              <w:top w:val="single" w:sz="8" w:space="0" w:color="242424"/>
              <w:left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ноябрь 2025 г - декабрь 2025</w:t>
            </w:r>
          </w:p>
          <w:p w:rsidR="00EC290A" w:rsidRPr="00EC290A" w:rsidRDefault="00EC290A" w:rsidP="00EC290A">
            <w:pPr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90A" w:rsidRPr="00EC290A" w:rsidTr="00065D63">
        <w:trPr>
          <w:trHeight w:val="480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Подготовка уведомления о планируемой хозяйственной и иной деятельности &lt;*&gt;</w:t>
            </w:r>
          </w:p>
        </w:tc>
        <w:tc>
          <w:tcPr>
            <w:tcW w:w="4111" w:type="dxa"/>
            <w:vMerge/>
            <w:tcBorders>
              <w:left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90A" w:rsidRPr="00EC290A" w:rsidTr="00065D63">
        <w:trPr>
          <w:trHeight w:val="480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Направление уведомления о планируемой хозяйственной и иной деятельности и программы проведения ОВОС затрагиваемым сторонам &lt;*&gt;</w:t>
            </w:r>
          </w:p>
        </w:tc>
        <w:tc>
          <w:tcPr>
            <w:tcW w:w="4111" w:type="dxa"/>
            <w:vMerge/>
            <w:tcBorders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C290A" w:rsidRPr="00EC290A" w:rsidTr="007B625E">
        <w:trPr>
          <w:trHeight w:val="301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Подготовка отчета об ОВОС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ноябрь 2025 г – </w:t>
            </w:r>
            <w:r w:rsidRPr="00EC290A"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ru-RU"/>
              </w:rPr>
              <w:t>июнь</w:t>
            </w: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2026 г</w:t>
            </w:r>
          </w:p>
        </w:tc>
      </w:tr>
      <w:tr w:rsidR="00EC290A" w:rsidRPr="00EC290A" w:rsidTr="007B625E">
        <w:trPr>
          <w:trHeight w:val="376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Направление отчета об ОВОС затрагиваемым </w:t>
            </w:r>
          </w:p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сторонам &lt;*&gt;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ru-RU"/>
              </w:rPr>
              <w:t xml:space="preserve">июнь </w:t>
            </w: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2026 г</w:t>
            </w:r>
          </w:p>
        </w:tc>
      </w:tr>
      <w:tr w:rsidR="00EC290A" w:rsidRPr="00EC290A" w:rsidTr="007B625E">
        <w:trPr>
          <w:trHeight w:val="949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Проведение общественных обсуждений на территории:</w:t>
            </w:r>
          </w:p>
          <w:p w:rsidR="00EC290A" w:rsidRPr="00EC290A" w:rsidRDefault="00EC290A" w:rsidP="00EC290A">
            <w:pPr>
              <w:ind w:left="555" w:firstLine="0"/>
              <w:jc w:val="lef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Республики Беларусь</w:t>
            </w:r>
          </w:p>
          <w:p w:rsidR="00EC290A" w:rsidRPr="00EC290A" w:rsidRDefault="00EC290A" w:rsidP="00EC290A">
            <w:pPr>
              <w:ind w:left="555" w:firstLine="0"/>
              <w:jc w:val="lef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EC290A" w:rsidRPr="00EC290A" w:rsidRDefault="00EC290A" w:rsidP="00EC290A">
            <w:pPr>
              <w:ind w:left="555" w:firstLine="0"/>
              <w:jc w:val="lef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EC290A" w:rsidRPr="00EC290A" w:rsidRDefault="00EC290A" w:rsidP="00EC290A">
            <w:pPr>
              <w:ind w:left="555"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затрагиваемых сторон &lt;*&gt;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ru-RU"/>
              </w:rPr>
              <w:t xml:space="preserve">июнь </w:t>
            </w: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2026 г – сентябрь 2026 г</w:t>
            </w:r>
          </w:p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(не менее 30 календарных дней)</w:t>
            </w:r>
          </w:p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br w:type="textWrapping" w:clear="all"/>
            </w:r>
            <w:r w:rsidRPr="00EC290A"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ru-RU"/>
              </w:rPr>
              <w:t>июнь</w:t>
            </w: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2026 г – ноябрь 2026 г</w:t>
            </w:r>
          </w:p>
        </w:tc>
      </w:tr>
      <w:tr w:rsidR="00EC290A" w:rsidRPr="00EC290A" w:rsidTr="007B625E">
        <w:trPr>
          <w:trHeight w:val="369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Проведение консультации по замечаниям затрагиваемых сторон &lt;*&gt;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ru-RU"/>
              </w:rPr>
              <w:t>июнь</w:t>
            </w: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2026 г – ноябрь 2026 г</w:t>
            </w:r>
          </w:p>
        </w:tc>
      </w:tr>
      <w:tr w:rsidR="00EC290A" w:rsidRPr="00EC290A" w:rsidTr="007B625E">
        <w:trPr>
          <w:trHeight w:val="277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Проведение собрания по обсуждению отчета об ОВОС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b/>
                <w:szCs w:val="28"/>
                <w:bdr w:val="none" w:sz="0" w:space="0" w:color="auto" w:frame="1"/>
                <w:lang w:eastAsia="ru-RU"/>
              </w:rPr>
              <w:t xml:space="preserve">июнь </w:t>
            </w: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2026 г – сентябрь 2026 г</w:t>
            </w:r>
          </w:p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(не ранее чем через 25 календарных дней с даты начала общественных обсуждений и не позднее дня их завершения)</w:t>
            </w:r>
          </w:p>
        </w:tc>
      </w:tr>
      <w:tr w:rsidR="00EC290A" w:rsidRPr="00EC290A" w:rsidTr="007B625E">
        <w:trPr>
          <w:trHeight w:val="299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Доработка отчета об ОВОС по замечаниям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ноябрь 2026 г – декабрь 2026 г</w:t>
            </w:r>
          </w:p>
        </w:tc>
      </w:tr>
      <w:tr w:rsidR="00EC290A" w:rsidRPr="00EC290A" w:rsidTr="007B625E">
        <w:trPr>
          <w:trHeight w:val="696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Представление отчета об ОВОС в составе </w:t>
            </w:r>
            <w:proofErr w:type="spellStart"/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предпроектной</w:t>
            </w:r>
            <w:proofErr w:type="spellEnd"/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предынвестиционной</w:t>
            </w:r>
            <w:proofErr w:type="spellEnd"/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), проектной документации на государственную экологическую экспертизу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ноябрь 2026 г – декабрь 2026 г</w:t>
            </w:r>
          </w:p>
        </w:tc>
      </w:tr>
      <w:tr w:rsidR="00EC290A" w:rsidRPr="00EC290A" w:rsidTr="007B625E">
        <w:trPr>
          <w:trHeight w:val="480"/>
        </w:trPr>
        <w:tc>
          <w:tcPr>
            <w:tcW w:w="5670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lef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Принятие решения в отношении планируемой деятельности</w:t>
            </w:r>
          </w:p>
        </w:tc>
        <w:tc>
          <w:tcPr>
            <w:tcW w:w="4111" w:type="dxa"/>
            <w:tcBorders>
              <w:top w:val="single" w:sz="8" w:space="0" w:color="242424"/>
              <w:left w:val="single" w:sz="8" w:space="0" w:color="242424"/>
              <w:bottom w:val="single" w:sz="8" w:space="0" w:color="242424"/>
              <w:right w:val="single" w:sz="8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290A" w:rsidRPr="00EC290A" w:rsidRDefault="00EC290A" w:rsidP="00EC290A">
            <w:pPr>
              <w:ind w:firstLine="0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C290A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декабрь 2026 г</w:t>
            </w:r>
          </w:p>
        </w:tc>
      </w:tr>
    </w:tbl>
    <w:p w:rsidR="00EC290A" w:rsidRPr="00EC290A" w:rsidRDefault="00EC290A" w:rsidP="00EC290A">
      <w:pPr>
        <w:ind w:firstLine="0"/>
        <w:rPr>
          <w:rFonts w:eastAsia="Calibri" w:cs="Times New Roman"/>
          <w:szCs w:val="28"/>
        </w:rPr>
      </w:pPr>
      <w:r w:rsidRPr="00EC290A">
        <w:rPr>
          <w:rFonts w:eastAsia="Calibri" w:cs="Times New Roman"/>
          <w:szCs w:val="28"/>
        </w:rPr>
        <w:t>«*» - заполняется в случае, если планируемая хозяйственная и иная деятельность может оказывать трансграничное воздействие.»</w:t>
      </w:r>
    </w:p>
    <w:p w:rsidR="00EC290A" w:rsidRPr="000A4641" w:rsidRDefault="00EC290A" w:rsidP="000A4641"/>
    <w:sectPr w:rsidR="00EC290A" w:rsidRPr="000A4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41"/>
    <w:rsid w:val="000A4641"/>
    <w:rsid w:val="00151A94"/>
    <w:rsid w:val="003212C6"/>
    <w:rsid w:val="003C1C1B"/>
    <w:rsid w:val="003F35D3"/>
    <w:rsid w:val="00626347"/>
    <w:rsid w:val="00652D47"/>
    <w:rsid w:val="0071609C"/>
    <w:rsid w:val="008707FB"/>
    <w:rsid w:val="008B1D7C"/>
    <w:rsid w:val="00962171"/>
    <w:rsid w:val="00AD5988"/>
    <w:rsid w:val="00B9131F"/>
    <w:rsid w:val="00B94DFB"/>
    <w:rsid w:val="00BE6DB6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CF5A9-BF1A-4E8A-B17C-373AB8AB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Basak</dc:creator>
  <cp:keywords/>
  <dc:description/>
  <cp:lastModifiedBy>PC</cp:lastModifiedBy>
  <cp:revision>2</cp:revision>
  <cp:lastPrinted>2026-05-04T11:55:00Z</cp:lastPrinted>
  <dcterms:created xsi:type="dcterms:W3CDTF">2026-05-06T14:31:00Z</dcterms:created>
  <dcterms:modified xsi:type="dcterms:W3CDTF">2026-05-06T14:31:00Z</dcterms:modified>
</cp:coreProperties>
</file>